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5E495B" w:rsidRDefault="00061DF7" w:rsidP="00261C03">
      <w:pPr>
        <w:pStyle w:val="Bodytext30"/>
        <w:widowControl/>
        <w:shd w:val="clear" w:color="auto" w:fill="auto"/>
        <w:spacing w:after="38" w:line="240" w:lineRule="auto"/>
        <w:jc w:val="both"/>
        <w:rPr>
          <w:rFonts w:ascii="Times New Roman" w:hAnsi="Times New Roman" w:cs="Times New Roman"/>
          <w:lang w:val="en-GB"/>
        </w:rPr>
      </w:pPr>
      <w:bookmarkStart w:id="0" w:name="_GoBack"/>
      <w:bookmarkEnd w:id="0"/>
      <w:r w:rsidRPr="005E495B">
        <w:rPr>
          <w:rFonts w:ascii="Times New Roman" w:eastAsia="Times New Roman" w:hAnsi="Times New Roman" w:cs="Times New Roman"/>
          <w:lang w:bidi="tr-TR"/>
        </w:rPr>
        <w:t>İklim Eylem Simülasyonu: Geleneksel Enerji Arzı</w:t>
      </w:r>
    </w:p>
    <w:p w:rsidR="0010014B" w:rsidRPr="005E495B" w:rsidRDefault="0010014B" w:rsidP="00261C03">
      <w:pPr>
        <w:pStyle w:val="Bodytext30"/>
        <w:widowControl/>
        <w:shd w:val="clear" w:color="auto" w:fill="auto"/>
        <w:spacing w:after="38" w:line="240" w:lineRule="auto"/>
        <w:rPr>
          <w:rFonts w:ascii="Times New Roman" w:hAnsi="Times New Roman" w:cs="Times New Roman"/>
          <w:lang w:val="en-GB"/>
        </w:rPr>
      </w:pPr>
    </w:p>
    <w:p w:rsidR="00EA7CFD" w:rsidRPr="005E495B" w:rsidRDefault="00061DF7" w:rsidP="00261C03">
      <w:pPr>
        <w:pStyle w:val="Bodytext40"/>
        <w:widowControl/>
        <w:shd w:val="clear" w:color="auto" w:fill="auto"/>
        <w:tabs>
          <w:tab w:val="left" w:pos="1440"/>
        </w:tabs>
        <w:spacing w:line="240" w:lineRule="auto"/>
        <w:rPr>
          <w:lang w:val="en-GB"/>
        </w:rPr>
      </w:pPr>
      <w:r w:rsidRPr="005E495B">
        <w:rPr>
          <w:lang w:bidi="tr-TR"/>
        </w:rPr>
        <w:t>Kime:</w:t>
      </w:r>
      <w:r w:rsidRPr="005E495B">
        <w:rPr>
          <w:lang w:bidi="tr-TR"/>
        </w:rPr>
        <w:tab/>
        <w:t>Geleneksel Enerji Arzı Başmüzakerecileri</w:t>
      </w:r>
    </w:p>
    <w:p w:rsidR="00EA7CFD" w:rsidRPr="005E495B" w:rsidRDefault="00061DF7" w:rsidP="00261C03">
      <w:pPr>
        <w:pStyle w:val="Bodytext40"/>
        <w:widowControl/>
        <w:shd w:val="clear" w:color="auto" w:fill="auto"/>
        <w:tabs>
          <w:tab w:val="left" w:pos="1440"/>
        </w:tabs>
        <w:spacing w:after="120" w:line="240" w:lineRule="auto"/>
        <w:rPr>
          <w:lang w:val="en-GB"/>
        </w:rPr>
      </w:pPr>
      <w:r w:rsidRPr="005E495B">
        <w:rPr>
          <w:lang w:bidi="tr-TR"/>
        </w:rPr>
        <w:t>Konu:</w:t>
      </w:r>
      <w:r w:rsidRPr="005E495B">
        <w:rPr>
          <w:lang w:bidi="tr-TR"/>
        </w:rPr>
        <w:tab/>
        <w:t>İklim Eylemi Zirvesi için Hazırlık</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 xml:space="preserve">İklim Eylemi Zirvesi’ne hoş geldiniz. Siz ve konunun tüm ilgililerinin liderleri, iklim değişikliğine başarılı bir şekilde eğilmek için birlikte çalışmak amacıyla BM Genel Sekreterliği tarafından davet edildiniz. Davette Genel Sekreterlik şunları </w:t>
      </w:r>
      <w:r w:rsidRPr="005E495B">
        <w:rPr>
          <w:rStyle w:val="Bodytext21"/>
          <w:lang w:val="tr-TR" w:bidi="tr-TR"/>
        </w:rPr>
        <w:t>not etmiştir</w:t>
      </w:r>
      <w:r w:rsidRPr="005E495B">
        <w:rPr>
          <w:lang w:bidi="tr-TR"/>
        </w:rPr>
        <w:t>: “İklim acil durumu, kaybetmekte olduğumuz fakat kazanabileceğimiz bir yarıştır... En iyi bilim... bizlere 1,5°C’nin üzerindeki herhangi bir sıcaklık artışının bizi destekleyen ekosistemlere büyük ve geri dönüşü olmayan bir şekilde zarar vereceğini söylüyor... Fakat bilim bizlere çok geç olmadığını da söylüyor.</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Bunu yapabiliriz... Fakat bu; besin yetiştirme, araziyi kullanma, ulaşımımız için yakıt sağlama ve ekonomilerimizi güçlendirme yöntemlerimiz gibi toplumun tüm yönlerinde temel değişimleri gerektirecektir... Beraber hareket ederek kimseyi geride bırakmayacağız.”</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 xml:space="preserve">Zirvenin hedefi, Paris İklim Anlaşması’nda resmen kabul edilen uluslararası hedefler olan, küresel ısınmayı sanayi öncesi seviyelerin üzerindeki 2°C’den [3,6°F] daha az bir seviyede ve 1,5°C [2,7°F] ile sınırlandırmak için çabalamak amacıyla bir plan yaratmaktır. </w:t>
      </w:r>
      <w:r w:rsidRPr="005E495B">
        <w:rPr>
          <w:rStyle w:val="Bodytext21"/>
          <w:lang w:val="tr-TR" w:bidi="tr-TR"/>
        </w:rPr>
        <w:t>Bilimsel kanıt</w:t>
      </w:r>
      <w:r w:rsidRPr="005E495B">
        <w:rPr>
          <w:lang w:bidi="tr-TR"/>
        </w:rPr>
        <w:t xml:space="preserve"> açıktır: bu sınırın üstündeki ısınma tüm uluslarda insanların sağlıklarını, refahlarını ve hayatlarını tehdit eden yıkıcı ve geri dönüşü olmayan etkilere yol açacaktır.</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Bugün dünyanın enerjisinin çoğunu arz eden kömür, petrol, doğal gaz, nükleer ve elektrik hizmeti endüstrilerini temsil etmektesiniz. Grubunuz fosil yakıtlara dayanan halka açık ve ulusal petrol ve gaz (P ve G) şirketlerini, kömür şirketlerini, elektrik hizmetlerini ve bu endüstrilere hizmet ve ekipman sağlayan firmaları içermektedir.</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Politika öncelikleriniz aşağıda belirtilmektedir. Ancak herhangi bir politika teklif edebilir veya herhangi birini durdurabilirsiniz.</w:t>
      </w:r>
    </w:p>
    <w:p w:rsidR="00EA7CFD" w:rsidRPr="005E495B" w:rsidRDefault="00061DF7" w:rsidP="00261C03">
      <w:pPr>
        <w:pStyle w:val="Bodytext20"/>
        <w:widowControl/>
        <w:numPr>
          <w:ilvl w:val="0"/>
          <w:numId w:val="1"/>
        </w:numPr>
        <w:shd w:val="clear" w:color="auto" w:fill="auto"/>
        <w:tabs>
          <w:tab w:val="left" w:pos="362"/>
        </w:tabs>
        <w:spacing w:before="0" w:after="120" w:line="240" w:lineRule="auto"/>
        <w:ind w:left="400" w:right="-1"/>
        <w:jc w:val="both"/>
      </w:pPr>
      <w:r w:rsidRPr="005E495B">
        <w:rPr>
          <w:rStyle w:val="Bodytext2Bold"/>
          <w:lang w:val="tr-TR" w:bidi="tr-TR"/>
        </w:rPr>
        <w:t xml:space="preserve">Yüksek karbon ücretine karşı çıkın. </w:t>
      </w:r>
      <w:r w:rsidRPr="005E495B">
        <w:rPr>
          <w:lang w:bidi="tr-TR"/>
        </w:rPr>
        <w:t>Ekonomistleriniz, sera gazı (GHG) emisyonlarının çevresel ve sosyal maliyetlerini yansıtmak için fosil yakıt fiyatlarını karbon ücretiyle artırmanın küresel emisyonları azaltmak için en iyi yol olabileceğini kabul etmektedir. Ancak bir ton CO</w:t>
      </w:r>
      <w:r w:rsidRPr="005E495B">
        <w:rPr>
          <w:vertAlign w:val="subscript"/>
          <w:lang w:bidi="tr-TR"/>
        </w:rPr>
        <w:t>2</w:t>
      </w:r>
      <w:r w:rsidRPr="005E495B">
        <w:rPr>
          <w:lang w:bidi="tr-TR"/>
        </w:rPr>
        <w:t xml:space="preserve"> başına 25-30 dolardan yüksek bir karbon ücreti, maliyetleri artırarak ve talebe darbe vurarak aşırı değerlenmiş varlıklara ve düşmüş hisse senetlerine yol açacak ve fosil yakıt endüstrisine adil olmayan bir şekilde zarar verecektir. Bazı petrol şirketleri karbon ücretine destek verdiklerini halka duyurmalarına rağmen endüstriniz buna karşı çıkan ve harekete geçmeyi engelleyen politikacılara fon sağlamaya devam etmektedir. Karbon ücretinin kanunlaşmasına yönelik diğer gruplardan baskı yapmalarını beklemektesiniz. Bu politikaya karşı güçlü bir tutum takının.</w:t>
      </w:r>
    </w:p>
    <w:p w:rsidR="00EA7CFD" w:rsidRPr="005E495B" w:rsidRDefault="00061DF7" w:rsidP="00261C03">
      <w:pPr>
        <w:pStyle w:val="Bodytext20"/>
        <w:widowControl/>
        <w:numPr>
          <w:ilvl w:val="0"/>
          <w:numId w:val="1"/>
        </w:numPr>
        <w:shd w:val="clear" w:color="auto" w:fill="auto"/>
        <w:tabs>
          <w:tab w:val="left" w:pos="362"/>
        </w:tabs>
        <w:spacing w:before="0" w:after="120" w:line="240" w:lineRule="auto"/>
        <w:ind w:left="400" w:right="-1"/>
        <w:jc w:val="both"/>
      </w:pPr>
      <w:r w:rsidRPr="005E495B">
        <w:rPr>
          <w:rStyle w:val="Bodytext2Bold"/>
          <w:lang w:val="tr-TR" w:bidi="tr-TR"/>
        </w:rPr>
        <w:t xml:space="preserve">Fosil yakıtlara uygulanan vergilere karşı çıkın. </w:t>
      </w:r>
      <w:r w:rsidRPr="005E495B">
        <w:rPr>
          <w:lang w:bidi="tr-TR"/>
        </w:rPr>
        <w:t>Endüstriniz ne düzenlemeye tabi tutulmayı ne de iklim değişikliğini hafifletmenin maliyetlerini ödemeyi istemektedir. Dünya gelecek yüzyılda fosil yakıtlardan saparken şimdiden önemli ticari kayıplar beklediğinizden endüstrinizi adil olmayan bir şekilde cezalandıracak ek maliyetleri taşıyamazsınız. Aslında, kömür ve petrolden daha az karbon yoğunluğuna sahip olduğundan köprü yakıt olarak reklamını yaptığınız doğal gaz için devlet desteği isteyebilirsiniz. Düzenlemeler kaçınılmazsa kömürü sınırlamak petrol ve gazı sınırlamaktan daha iyidir. Kömür yakıldığında en çok karbonu yayan enerji kaynağıdır ve petrol ve gazdan daha az kârlıdır.</w:t>
      </w:r>
    </w:p>
    <w:p w:rsidR="00934588" w:rsidRPr="005E495B" w:rsidRDefault="00934588" w:rsidP="00261C03">
      <w:pPr>
        <w:pStyle w:val="Bodytext20"/>
        <w:widowControl/>
        <w:numPr>
          <w:ilvl w:val="0"/>
          <w:numId w:val="1"/>
        </w:numPr>
        <w:shd w:val="clear" w:color="auto" w:fill="auto"/>
        <w:spacing w:before="0" w:after="120" w:line="240" w:lineRule="auto"/>
        <w:ind w:left="400" w:right="-1"/>
        <w:jc w:val="both"/>
      </w:pPr>
      <w:r w:rsidRPr="005E495B">
        <w:rPr>
          <w:b/>
          <w:lang w:bidi="tr-TR"/>
        </w:rPr>
        <w:t>Teknolojik karbon giderme, CCS ve biyoyakıtlar gibi yeni teknolojileri destekleyin.</w:t>
      </w:r>
    </w:p>
    <w:p w:rsidR="00EA7CFD" w:rsidRPr="005E495B" w:rsidRDefault="00061DF7" w:rsidP="00261C03">
      <w:pPr>
        <w:pStyle w:val="Bodytext20"/>
        <w:widowControl/>
        <w:shd w:val="clear" w:color="auto" w:fill="auto"/>
        <w:spacing w:before="0" w:after="120" w:line="240" w:lineRule="auto"/>
        <w:ind w:left="400" w:firstLine="0"/>
        <w:jc w:val="both"/>
      </w:pPr>
      <w:r w:rsidRPr="005E495B">
        <w:rPr>
          <w:lang w:bidi="tr-TR"/>
        </w:rPr>
        <w:t>Endüstriniz doğal gazın ve biyoyakıtların daha fazla kullanılmasını ve atmosferdeki karbonu ayırarak yer altında depolayan karbon giderme teknolojisini geliştirmeye yönelik araştırmaları desteklemektedir.</w:t>
      </w:r>
      <w:r w:rsidRPr="005E495B">
        <w:rPr>
          <w:rFonts w:eastAsia="Arial"/>
          <w:i/>
          <w:sz w:val="18"/>
          <w:szCs w:val="18"/>
          <w:lang w:bidi="tr-TR"/>
        </w:rPr>
        <w:t xml:space="preserve"> Geniş ölçekli mühendislik, jeoloji ve yakıt taşıma alanlarındaki uzmanlığınız bu yakıtlara ve endüstrilere uygulanabilir. Ayrıca CCS’li biyoyakıt dâhil kömür ve diğer enerji santralleri için karbon giderme ve depolamayı da (CCS) desteklemektesiniz. CCS, </w:t>
      </w:r>
      <w:r w:rsidRPr="005E495B">
        <w:rPr>
          <w:lang w:bidi="tr-TR"/>
        </w:rPr>
        <w:t xml:space="preserve">fosil yakıtların enerji santrallerinde ve endüstriyel süreçlerde yanmasından kaynaklanan </w:t>
      </w:r>
      <w:r w:rsidRPr="005E495B">
        <w:rPr>
          <w:rFonts w:ascii="Arial" w:eastAsia="Arial" w:hAnsi="Arial" w:cs="Arial"/>
          <w:i/>
          <w:sz w:val="18"/>
          <w:szCs w:val="18"/>
          <w:lang w:bidi="tr-TR"/>
        </w:rPr>
        <w:t>CO</w:t>
      </w:r>
      <w:r w:rsidRPr="005E495B">
        <w:rPr>
          <w:rFonts w:ascii="Arial" w:eastAsia="Arial" w:hAnsi="Arial" w:cs="Arial"/>
          <w:sz w:val="18"/>
          <w:szCs w:val="18"/>
          <w:vertAlign w:val="subscript"/>
          <w:lang w:bidi="tr-TR"/>
        </w:rPr>
        <w:t>2</w:t>
      </w:r>
      <w:r w:rsidRPr="005E495B">
        <w:rPr>
          <w:lang w:bidi="tr-TR"/>
        </w:rPr>
        <w:t>’nin %90’ını yakalayabilir. Sonrasında CO</w:t>
      </w:r>
      <w:r w:rsidRPr="005E495B">
        <w:rPr>
          <w:vertAlign w:val="subscript"/>
          <w:lang w:bidi="tr-TR"/>
        </w:rPr>
        <w:t>2</w:t>
      </w:r>
      <w:r w:rsidRPr="005E495B">
        <w:rPr>
          <w:lang w:bidi="tr-TR"/>
        </w:rPr>
        <w:t xml:space="preserve">, petrol ve gaz üretimini artırmak için sıvılaştırılarak yer altına pompalanabilir veya daha az kazanç getirse de daha güvenilir </w:t>
      </w:r>
      <w:r w:rsidRPr="005E495B">
        <w:rPr>
          <w:lang w:bidi="tr-TR"/>
        </w:rPr>
        <w:lastRenderedPageBreak/>
        <w:t>olacağını temin edeceğiniz jeolojik depolara pompalanabilir. Karbon giderme teknolojisi elverişli ve uygun maliyetli hale gelirse endüstrinize yardım edebilir, çünkü böylece CO</w:t>
      </w:r>
      <w:r w:rsidRPr="005E495B">
        <w:rPr>
          <w:vertAlign w:val="subscript"/>
          <w:lang w:bidi="tr-TR"/>
        </w:rPr>
        <w:t>2</w:t>
      </w:r>
      <w:r w:rsidRPr="005E495B">
        <w:rPr>
          <w:lang w:bidi="tr-TR"/>
        </w:rPr>
        <w:t xml:space="preserve"> atmosferden ayrılabilir ve fosil yakıtların sürekli kullanımından kaynaklanan emisyonlar dengelenir.</w:t>
      </w:r>
    </w:p>
    <w:p w:rsidR="00EA7CFD" w:rsidRPr="005E495B" w:rsidRDefault="00061DF7" w:rsidP="00261C03">
      <w:pPr>
        <w:pStyle w:val="Bodytext20"/>
        <w:widowControl/>
        <w:numPr>
          <w:ilvl w:val="0"/>
          <w:numId w:val="1"/>
        </w:numPr>
        <w:shd w:val="clear" w:color="auto" w:fill="auto"/>
        <w:spacing w:before="0" w:after="120" w:line="240" w:lineRule="auto"/>
        <w:ind w:left="400" w:right="-1"/>
        <w:jc w:val="both"/>
      </w:pPr>
      <w:r w:rsidRPr="005E495B">
        <w:rPr>
          <w:b/>
          <w:lang w:bidi="tr-TR"/>
        </w:rPr>
        <w:t>Endüstrinizi doğrudan etkilemeyen eylemleri cesaretlendirin.</w:t>
      </w:r>
      <w:r w:rsidRPr="005E495B">
        <w:rPr>
          <w:lang w:bidi="tr-TR"/>
        </w:rPr>
        <w:t xml:space="preserve"> İklim değişikliğinin tehlikeli olduğunu anlamakla beraber hisse senedi değerlerini de korumanız gerekir. Bu yüzden fosil yakıt kullanımını azaltmadan GHG emisyonlarını azaltabilecek politikaları desteklemektesiniz. Fosil yakıt kullanımından kaynaklanan CO</w:t>
      </w:r>
      <w:r w:rsidRPr="005E495B">
        <w:rPr>
          <w:vertAlign w:val="subscript"/>
          <w:lang w:bidi="tr-TR"/>
        </w:rPr>
        <w:t>2</w:t>
      </w:r>
      <w:r w:rsidRPr="005E495B">
        <w:rPr>
          <w:lang w:bidi="tr-TR"/>
        </w:rPr>
        <w:t xml:space="preserve"> iklim değişikliğine en çok katkıyı yapmasına rağmen metan (CH</w:t>
      </w:r>
      <w:r w:rsidRPr="005E495B">
        <w:rPr>
          <w:vertAlign w:val="subscript"/>
          <w:lang w:bidi="tr-TR"/>
        </w:rPr>
        <w:t>4</w:t>
      </w:r>
      <w:r w:rsidRPr="005E495B">
        <w:rPr>
          <w:lang w:bidi="tr-TR"/>
        </w:rPr>
        <w:t>), azot oksit (N</w:t>
      </w:r>
      <w:r w:rsidRPr="005E495B">
        <w:rPr>
          <w:vertAlign w:val="subscript"/>
          <w:lang w:bidi="tr-TR"/>
        </w:rPr>
        <w:t>2</w:t>
      </w:r>
      <w:r w:rsidRPr="005E495B">
        <w:rPr>
          <w:lang w:bidi="tr-TR"/>
        </w:rPr>
        <w:t>O) ve diğer gazlar etkili GHG’lerdir ve etkileri artmaktadır. Küresel tarım ve ormancılık uygulamaları da bu gazların emisyonlarına büyük ölçüde katkıda bulunmaktadır. Arazi kullanımından, tarımdan ve ormancılıktan kaynaklanan emisyonlar başta olmak üzere diğer GHG’leri azaltacak politikalara destek vermektesiniz. Orman tahribatını durduracak ve önceden tahrip edilmiş ve vasfını yitirmiş ormanları ağaçlandıracak çalışmaları desteklemektesiniz.</w:t>
      </w:r>
    </w:p>
    <w:p w:rsidR="00EA7CFD" w:rsidRPr="005E495B" w:rsidRDefault="00061DF7" w:rsidP="00261C03">
      <w:pPr>
        <w:pStyle w:val="Bodytext60"/>
        <w:widowControl/>
        <w:shd w:val="clear" w:color="auto" w:fill="auto"/>
        <w:spacing w:before="0" w:after="120" w:line="240" w:lineRule="auto"/>
      </w:pPr>
      <w:r w:rsidRPr="005E495B">
        <w:rPr>
          <w:lang w:bidi="tr-TR"/>
        </w:rPr>
        <w:t>Ek Hususlar</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Kendi iklim bilimi uzmanlarınız Hükümetler Arası İklim Değişikliği Paneli’nin (IPCC) iklim değişikliği hakkındaki değerlendirmesine katılmaktadır. Ancak tehlikeli iklim değişikliğini engellemeye yönelik zorunlulukları; hissedarlarınız, çalışanlarınız, halk (müşterileriniz), çalışmanız için lisansınızı veren, endüstrinizi düzenleyen ve çalışma maliyetlerinizi etkileyen politika yapıcılar gibi temel ilgililerin ihtiyaçlarıyla ve nihayetinde bu şirketlerin liderleri olarak kendi kişisel ekonomik menfaatlerinizle dengelemelisiniz.</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Fosil yakıtlar ve nükleer gibi geleneksel enerji kaynakları küresel enerji arzının %95’inden fazlasını sağlamaktadır. Endüstriniz yalnızca tüketicilerin istediğini verdiği için iklim değişikliğiyle suçlanmamalı ve bu yüzden cezalandırılmamalıdır. Fosil yakıt kullanımını durdurmak kısa vadede tüketiciler ve ekonomi için maliyetli olabilir. Dünyanın çoğu yerinde fosil yakıt altyapısı şimdiden mevcuttur ve gelişmekte olan birçok ülkede yeni fosil enerji kapasitesi hâlâ hızla geliştirilmektedir. Rüzgâr ve güneş gibi yenilenebilir kaynaklar sürekli değildir ve henüz dünya ekonomisinde enerji sağlayacak kapasiteleri yoktur. Fosil yakıtların özellikle dünyanın gelişmekte olan uluslarında “enerji fakirliğini” ortadan kaldırmak ve ekonomik büyüme sağlamak için esaslı olduğunu düşünmektesiniz. Çevre aktivistlerinin sizleri sosyal adaleti umursamayan insanlar olarak göstermesine izin vermeyin.</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Isınmayı 2°C’ye yakın herhangi bir noktada sınırlandırmaya yönelik politikalar kanunlaşırsa kömür, petrol ve gaz alanlarındaki şirketler dâhil fosil yakıt üreticileri ciddi ekonomik zorluklara katlanacaktır. Fosil yakıtlara dayanan şirketler kendilerine yeniden şekil vermek veya faaliyetlerine son vermek zorunda kalacaklardır. Isınmayı 2°C’de sınırlandırmak bilinen fosil yakıt kaynaklarının büyük bir bölümünün yer altında kalmak zorunda olması ve hissedarlar veya devletler için asla kâr yaratmayan aşırı değerlenmiş varlıklar haline gelmesi demektir. Birçok iş ortadan kaybolacaktır.</w:t>
      </w:r>
    </w:p>
    <w:p w:rsidR="00EA7CFD" w:rsidRPr="005E495B" w:rsidRDefault="00061DF7" w:rsidP="00261C03">
      <w:pPr>
        <w:pStyle w:val="Bodytext20"/>
        <w:widowControl/>
        <w:shd w:val="clear" w:color="auto" w:fill="auto"/>
        <w:spacing w:before="0" w:after="120" w:line="240" w:lineRule="auto"/>
        <w:ind w:firstLine="0"/>
        <w:jc w:val="both"/>
      </w:pPr>
      <w:r w:rsidRPr="005E495B">
        <w:rPr>
          <w:lang w:bidi="tr-TR"/>
        </w:rPr>
        <w:t>Aynı zamanda, küresel emisyonların iklim değişikliğinin en kötü etkilerinden kaçınmak için azaltılması gerektiğini bilmektesiniz. Artan deniz seviyeleri, daha aşırı iklim koşulları ve bunların ardından meydana gelecek jeopolitik alt üst oluşlar mevcut enerji arzı varlıklarına ve dünya ekonomisine karşı ciddi tehlikeler oluşturmaktadır. Artan iklim hasarları da fosil yakıt endüstrisine zarar verecek aşırı politikaların ve düzenlemelerin olasılığını da yükseltmektedir. Bu gibi politikalara ve düzenlemelere engel olmaya çalışırken aynı zamanda ısınan bir dünyada rekabet etmek -ve hayatta kalmak- için altyapınızı, ekonomik sermayenizi ve uzmanlığınızı nasıl kullanabileceğinizi de araştırmalısınız.</w:t>
      </w:r>
    </w:p>
    <w:p w:rsidR="00934588" w:rsidRPr="005E495B" w:rsidRDefault="00934588" w:rsidP="00261C03">
      <w:pPr>
        <w:pStyle w:val="Bodytext20"/>
        <w:widowControl/>
        <w:shd w:val="clear" w:color="auto" w:fill="auto"/>
        <w:spacing w:before="0" w:after="120" w:line="240" w:lineRule="auto"/>
        <w:ind w:firstLine="0"/>
        <w:jc w:val="both"/>
      </w:pPr>
    </w:p>
    <w:p w:rsidR="00934588" w:rsidRPr="005E495B" w:rsidRDefault="00934588" w:rsidP="00261C03">
      <w:pPr>
        <w:widowControl/>
        <w:jc w:val="center"/>
        <w:rPr>
          <w:lang w:val="en-GB"/>
        </w:rPr>
      </w:pPr>
      <w:r w:rsidRPr="005E495B">
        <w:rPr>
          <w:lang w:bidi="tr-TR"/>
        </w:rPr>
        <w:t>_____________</w:t>
      </w:r>
    </w:p>
    <w:p w:rsidR="00934588" w:rsidRPr="005E495B" w:rsidRDefault="00934588" w:rsidP="00261C03">
      <w:pPr>
        <w:pStyle w:val="Bodytext20"/>
        <w:widowControl/>
        <w:shd w:val="clear" w:color="auto" w:fill="auto"/>
        <w:spacing w:before="0" w:after="120" w:line="240" w:lineRule="auto"/>
        <w:ind w:firstLine="0"/>
        <w:jc w:val="both"/>
        <w:rPr>
          <w:lang w:val="en-GB"/>
        </w:rPr>
      </w:pPr>
    </w:p>
    <w:sectPr w:rsidR="00934588" w:rsidRPr="005E495B"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031" w:rsidRPr="005E495B" w:rsidRDefault="00093031">
      <w:r w:rsidRPr="005E495B">
        <w:separator/>
      </w:r>
    </w:p>
  </w:endnote>
  <w:endnote w:type="continuationSeparator" w:id="0">
    <w:p w:rsidR="00093031" w:rsidRPr="005E495B" w:rsidRDefault="00093031">
      <w:r w:rsidRPr="005E495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5E495B" w:rsidRDefault="00934588" w:rsidP="00934588">
    <w:pPr>
      <w:pStyle w:val="Footer"/>
      <w:spacing w:line="240" w:lineRule="auto"/>
      <w:rPr>
        <w:i/>
        <w:sz w:val="20"/>
        <w:szCs w:val="20"/>
      </w:rPr>
    </w:pPr>
    <w:r w:rsidRPr="005E495B">
      <w:rPr>
        <w:i/>
        <w:sz w:val="20"/>
        <w:szCs w:val="20"/>
        <w:lang w:bidi="tr-TR"/>
      </w:rPr>
      <w:t xml:space="preserve">Climate Interactive, MIT Sloan İşletme Okulu Sürdürülebilirlik Girişimi, ESB İşletme Okulu ve UMass Lowell İklim Değişikliği Girişimi tarafından oluşturulmuştur. Son güncelleme Eylül 2019. </w:t>
    </w:r>
    <w:hyperlink r:id="rId1" w:history="1">
      <w:r w:rsidRPr="005E495B">
        <w:rPr>
          <w:rStyle w:val="Hyperlink"/>
          <w:i/>
          <w:sz w:val="20"/>
          <w:szCs w:val="20"/>
          <w:lang w:bidi="tr-TR"/>
        </w:rPr>
        <w:t>www.cllmatelnteractlve.org</w:t>
      </w:r>
    </w:hyperlink>
    <w:r w:rsidRPr="005E495B">
      <w:rPr>
        <w:i/>
        <w:sz w:val="20"/>
        <w:szCs w:val="20"/>
        <w:lang w:bidi="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031" w:rsidRPr="005E495B" w:rsidRDefault="00093031"/>
  </w:footnote>
  <w:footnote w:type="continuationSeparator" w:id="0">
    <w:p w:rsidR="00093031" w:rsidRPr="005E495B" w:rsidRDefault="000930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CFD"/>
    <w:rsid w:val="00007579"/>
    <w:rsid w:val="00061DF7"/>
    <w:rsid w:val="00093031"/>
    <w:rsid w:val="0010014B"/>
    <w:rsid w:val="001C401E"/>
    <w:rsid w:val="00261C03"/>
    <w:rsid w:val="002A3890"/>
    <w:rsid w:val="00565AD4"/>
    <w:rsid w:val="005E495B"/>
    <w:rsid w:val="008B05AF"/>
    <w:rsid w:val="00934588"/>
    <w:rsid w:val="00941B40"/>
    <w:rsid w:val="009C54B9"/>
    <w:rsid w:val="00B66DC1"/>
    <w:rsid w:val="00B74543"/>
    <w:rsid w:val="00B75ADD"/>
    <w:rsid w:val="00C60E11"/>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7B55DB7-5CE6-4E77-B72D-9BE328D8B06A}"/>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tr-T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l-G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paragraph" w:styleId="BalloonText">
    <w:name w:val="Balloon Text"/>
    <w:basedOn w:val="Normal"/>
    <w:link w:val="BalloonTextChar"/>
    <w:uiPriority w:val="99"/>
    <w:semiHidden/>
    <w:unhideWhenUsed/>
    <w:rsid w:val="00261C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C0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CTJJHAUHWN5E-644613129-865</_dlc_DocId>
    <_dlc_DocIdUrl xmlns="bfc960a6-20da-4c94-8684-71380fca093b">
      <Url>http://dm2016/eesc/2019/_layouts/15/DocIdRedir.aspx?ID=CTJJHAUHWN5E-644613129-865</Url>
      <Description>CTJJHAUHWN5E-644613129-865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97DE051C-14D1-4007-B837-3C3A988D4897}"/>
</file>

<file path=customXml/itemProps2.xml><?xml version="1.0" encoding="utf-8"?>
<ds:datastoreItem xmlns:ds="http://schemas.openxmlformats.org/officeDocument/2006/customXml" ds:itemID="{94169EA2-9F0A-4340-91FF-7A6568E94582}"/>
</file>

<file path=customXml/itemProps3.xml><?xml version="1.0" encoding="utf-8"?>
<ds:datastoreItem xmlns:ds="http://schemas.openxmlformats.org/officeDocument/2006/customXml" ds:itemID="{6BDED64B-7D76-4595-AAD7-57E6CABBD647}"/>
</file>

<file path=customXml/itemProps4.xml><?xml version="1.0" encoding="utf-8"?>
<ds:datastoreItem xmlns:ds="http://schemas.openxmlformats.org/officeDocument/2006/customXml" ds:itemID="{2A4AD005-6A4E-4E4D-A5AF-95C4C3485C43}"/>
</file>

<file path=docProps/app.xml><?xml version="1.0" encoding="utf-8"?>
<Properties xmlns="http://schemas.openxmlformats.org/officeDocument/2006/extended-properties" xmlns:vt="http://schemas.openxmlformats.org/officeDocument/2006/docPropsVTypes">
  <Template>Normal.dotm</Template>
  <TotalTime>0</TotalTime>
  <Pages>2</Pages>
  <Words>1209</Words>
  <Characters>6894</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2 - Conventional Energy Supply </dc:title>
  <dc:creator>CDT</dc:creator>
  <cp:keywords>EESC-2019-05163-01-00-INFO-TRA-EN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2019-11-27T13:59:00Z</dcterms:created>
  <dcterms:modified xsi:type="dcterms:W3CDTF">2019-11-27T13:59:00Z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8e644d42-f9ee-4975-a5f2-88faf85cb0e8</vt:lpwstr>
  </property>
  <property fmtid="{D5CDD505-2E9C-101B-9397-08002B2CF9AE}" pid="9" name="AvailableTranslations">
    <vt:lpwstr>152;#MK|34ce48bb-063e-4413-a932-50853dc71c5c;#162;#TR|6e4ededd-04c4-4fa0-94e0-1028050302d5;#246;#ME|925b3da5-5ac0-4b3c-928c-6ef66a5c9b3c;#153;#SR|7f3a1d13-b985-4bfd-981e-afe31377edff;#4;#EN|f2175f21-25d7-44a3-96da-d6a61b075e1b;#154;#SQ|5ac17240-8d11-45ec-9893-659b209d7a00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MK|34ce48bb-063e-4413-a932-50853dc71c5c;ME|925b3da5-5ac0-4b3c-928c-6ef66a5c9b3c;SR|7f3a1d13-b985-4bfd-981e-afe31377edff;EN|f2175f21-25d7-44a3-96da-d6a61b075e1b;SQ|5ac17240-8d11-45ec-9893-659b209d7a00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11;#INFO|d9136e7c-93a9-4c42-9d28-92b61e85f80c;#154;#SQ|5ac17240-8d11-45ec-9893-659b209d7a00;#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162;#TR|6e4ededd-04c4-4fa0-94e0-1028050302d5</vt:lpwstr>
  </property>
  <property fmtid="{D5CDD505-2E9C-101B-9397-08002B2CF9AE}" pid="38" name="_docset_NoMedatataSyncRequired">
    <vt:lpwstr>False</vt:lpwstr>
  </property>
</Properties>
</file>